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4161C1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Rahandusministeerium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C0C3E" w:rsidRDefault="004161C1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ru-RU"/>
        </w:rPr>
      </w:pPr>
      <w:r w:rsidRPr="004161C1">
        <w:rPr>
          <w:sz w:val="22"/>
          <w:szCs w:val="22"/>
          <w:lang w:val="et-EE"/>
        </w:rPr>
        <w:t>info@rahandusministeerium.ee</w:t>
      </w:r>
      <w:r w:rsidR="00B604E3" w:rsidRPr="00923775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F36458" w:rsidRPr="004161C1" w:rsidRDefault="004161C1" w:rsidP="003E168C">
      <w:pPr>
        <w:spacing w:before="100" w:beforeAutospacing="1"/>
        <w:contextualSpacing/>
        <w:jc w:val="both"/>
        <w:rPr>
          <w:i/>
          <w:sz w:val="22"/>
          <w:szCs w:val="22"/>
          <w:lang w:val="et-EE"/>
        </w:rPr>
      </w:pPr>
      <w:r w:rsidRPr="004161C1">
        <w:rPr>
          <w:i/>
          <w:sz w:val="22"/>
          <w:szCs w:val="22"/>
          <w:lang w:val="et-EE"/>
        </w:rPr>
        <w:t>koopia: Tiit.Toos@fin.ee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jahutusvee kanali kallastele kanali teenindamise ja puhastamise eesmärgil.</w:t>
      </w:r>
      <w:bookmarkStart w:id="0" w:name="_GoBack"/>
      <w:bookmarkEnd w:id="0"/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F7" w:rsidRDefault="00422DF7" w:rsidP="00FB6CE8">
      <w:r>
        <w:separator/>
      </w:r>
    </w:p>
  </w:endnote>
  <w:endnote w:type="continuationSeparator" w:id="0">
    <w:p w:rsidR="00422DF7" w:rsidRDefault="00422DF7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422DF7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422DF7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F7" w:rsidRDefault="00422DF7" w:rsidP="00FB6CE8">
      <w:r>
        <w:separator/>
      </w:r>
    </w:p>
  </w:footnote>
  <w:footnote w:type="continuationSeparator" w:id="0">
    <w:p w:rsidR="00422DF7" w:rsidRDefault="00422DF7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77241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30A12"/>
    <w:rsid w:val="002360AE"/>
    <w:rsid w:val="003E168C"/>
    <w:rsid w:val="003F1566"/>
    <w:rsid w:val="004161C1"/>
    <w:rsid w:val="00422DF7"/>
    <w:rsid w:val="00451B11"/>
    <w:rsid w:val="00673FC9"/>
    <w:rsid w:val="00694F18"/>
    <w:rsid w:val="00755D91"/>
    <w:rsid w:val="0083103F"/>
    <w:rsid w:val="009D3990"/>
    <w:rsid w:val="00AC0C3E"/>
    <w:rsid w:val="00B604E3"/>
    <w:rsid w:val="00DA7A12"/>
    <w:rsid w:val="00DD1ED6"/>
    <w:rsid w:val="00DE2545"/>
    <w:rsid w:val="00DF2330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11</cp:revision>
  <dcterms:created xsi:type="dcterms:W3CDTF">2022-05-05T12:32:00Z</dcterms:created>
  <dcterms:modified xsi:type="dcterms:W3CDTF">2022-08-23T13:28:00Z</dcterms:modified>
</cp:coreProperties>
</file>